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119</w:t>
      </w:r>
    </w:p>
    <w:p>
      <w:r>
        <w:t>Bundesgericht (BGE), 1999-01-01, FR</w:t>
      </w:r>
    </w:p>
    <w:p>
      <w:r>
        <w:rPr>
          <w:b/>
        </w:rPr>
        <w:t xml:space="preserve">Quelle: </w:t>
      </w:r>
      <w:r>
        <w:t>https://mcp.opencaselaw.ch/entscheid/bge_125 I 119</w:t>
      </w:r>
    </w:p>
    <w:p>
      <w:r>
        <w:t>FR: ATF 125 I 119</w:t>
      </w:r>
    </w:p>
    <w:p>
      <w:r>
        <w:t>IT: DTF 125 I 119</w:t>
      </w:r>
    </w:p>
    <w:p>
      <w:pPr>
        <w:pStyle w:val="Heading2"/>
      </w:pPr>
      <w:r>
        <w:t>Regeste</w:t>
      </w:r>
    </w:p>
    <w:p>
      <w:r>
        <w:t>Regeste Art. 4 BV. Ablehnungsbegehren eines Beamten gegen die übergeordnete Behörde im Verfahren betreffend Erteilung einer Verwarnung. Zur Zulässigkeit der staatsrechtlichen Beschwerde gegen eine Verwarnung (E. 2a). Rechtsprechung zum Ausstand wegen des Anscheins der Befangenheit: Unterscheidung zwischen dem Ausstand von Mitgliedern gerichtlicher Behörden gemäss Art. 6 Ziff. 1 EMRK und Art. 58 BV (E. 3a) und demjenigen anderer Behördenmitglieder gemäss Art. 4 BV (E. 3b-e). Tragweite von Art. 4 BV und von den Art. 10 Abs. 1 lit. d VwVG entsprechenden kantonalen Ausstandsbestimmungen (E. 3f). Im vorliegenden Fall erweist sich der Verdacht der Befangenheit als unberechtigt (E. 3g-h).</w:t>
      </w:r>
    </w:p>
    <w:p>
      <w:pPr>
        <w:pStyle w:val="Heading2"/>
      </w:pPr>
      <w:r>
        <w:t>Erwägungen</w:t>
      </w:r>
    </w:p>
    <w:p>
      <w:r>
        <w:rPr>
          <w:b/>
        </w:rPr>
        <w:t>E. 2</w:t>
      </w:r>
    </w:p>
    <w:p>
      <w:r>
        <w:t>a) Selon la jurisprudence relative à l' art. 84 al. 1 let. a OJ , le recours pour violation des droits constitutionnels des citoyens n'est recevable que si l'acte attaqué, pris sous la forme d'un arrêté de portée générale ou d'une décision particulière, affecte d'une façon quelconque la situation juridique de l'individu, notamment en lui imposant une obligation de faire, de s'abstenir ou de tolérer ( ATF 121 I 42 consid. 2a p. 45, 173 consid. 2a p. 174; ATF 120 Ia 321 consid. 3a p. 325). Dans certaines conditions, un avertissement ou une sommation porte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 ATF 103 Ib 350 consid. 2 p. 352/353). Le recours de droit public peut aussi être exercé lorsque l'avertissement constitue directement une sanction disciplinaire (cf. ATF 124 I 310 ; ATF 113 Ia 279 ). En revanche, la simple menace d'une dénonciation à l'autorité compétente pour infliger la sanction n'est pas, en elle-même, un acte susceptible de recours (arrêt du 3 juillet 1987 dans la cause T., consid. 2b). BGE 125 I 119 S. 122 D'après la réglementation cantonale précitée, l'avertissement litigieux ne constitue pas en lui-même une sanction disciplinaire; il s'agit cependant d'une étape en principe obligatoire avant le blâme, qui est clairement une sanction, ou avant la résiliation des rapports de fonction. Le recours de droit public est donc recevable au regard de l' art. 84 al. 1 let. a OJ .</w:t>
      </w:r>
    </w:p>
    <w:p>
      <w:r>
        <w:rPr>
          <w:b/>
        </w:rPr>
        <w:t>E. 3</w:t>
      </w:r>
    </w:p>
    <w:p>
      <w:r>
        <w:t>a) La garantie d'un tribunal indépendant et impartial instituée par l' art. 6 par. 1 CEDH , à l'instar de la protection conférée par l' art. 58 Cst. ,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124 I 255 consid. 4a p. 261; ATF 120 Ia 184 consid. 2b; ATF 119 Ia 221 consid. 3). En particulier, une partie est fondée à dénoncer une apparence de prévention lorsque, par des déclarations avant ou pendant le procès, le juge révèle une opinion qu'il a déjà acquise sur l'issue à donner au litige ( ATF 115 Ia 180 consid. 3). Les règles cantonales sur l'organisation et la composition des tribunaux doivent être conçues de façon à assurer l'indépendance et l'impartialité des juges, conformément aux exigences de l' art. 6 par. 1 CEDH ; les organes qui ne répondent pas auxdites exigences ne sont pas considérés comme des tribunaux au sens de cette disposition ( ATF 123 I 87 consid. 4a p. 91; ATF 119 Ia 81 consid. 3 p. 83). Si l'apparence de la prévention ne résulte pas de circonstances particulières à la cause, mais de l'organisation judiciaire adoptée par le canton concerné, celle-ci est inconstitutionnelle ( ATF 115 Ia 224 consid. 6 p. 228). Il en est ainsi, notamment, lorsque le même juge cumule plusieurs fonctions et est donc amené à se prononcer, aux stades successifs d'un procès, sur des questions de fait ou de droit étroitement liées: on peut craindre, en effet, que ce juge ne projette dans la procédure en cours les opinions qu'il a déjà acquises, voire émises, à propos de l'affaire, qu'il ne résolve les questions à trancher BGE 125 I 119 S. 123 selon ces opinions et, surtout, qu'il ne discerne pas des questions que se poserait un juge non prévenu ( ATF 116 Ia 135 consid. 3b p. 139; voir aussi ATF 120 Ia 82 consid. 6c-6d p. 84 et CourEDH, arrêt Castillo Algar c. Espagne du 28 octobre 1998, ch. 46 et ss). L'indépendance et l'impartialité des magistrats se présente donc comme une maxime fondamentale de l'organisation des tribunaux. b) Selon plusieurs arrêts du Tribunal fédéral, l' art. 4 Cst. confère une garantie de portée équivalente quant à l'indépendance et l'impartialité des autorités qui ne sont pas des tribunaux ( ATF 120 Ia 184 consid. 2a p. 186; 119 Ia 13 consid. 3a p. 16; ATF 117 Ia 408 consid. 2a p. 410; ATF 114 Ia 278 consid. 3b p. 279). Dans leur domaine d'application, les lois fédérale et neuchâteloise sur la procédure administrative prévoient d'ailleurs, par des dispositions presque identiques ( art. 10 al. 1 let . d PA et art. 11 al. 1 let . d LPJA neuch.), que l'apparence de la prévention est un motif de récusation des personnes appelées à rendre ou à préparer une décision. A première vue, les critères précités relatifs à l'apparence de la prévention, concernant les membres des tribunaux, doivent donc être mis en oeuvre de façon identique lorsqu'une demande de récusation est dirigée contre un membre d'une autorité autre qu'un tribunal. c) Cette approche ne présente normalement pas de difficulté lorsque l'autorité est composée et organisée selon des règles propres à assurer «a priori» l'impartialité de ses membres, telles que des commissions de recours, d'arbitrage ou de surveillance externes à l'administration (arrêt de la IIe Cour de droit public du 19 mai 1998 dans la cause B., consid. 2b; cf. ATF 120 Ia 184 consid. 2). Le Tribunal fédéral a néanmoins jugé, dans le cas de l'Autorité indépendante d'examen des plaintes en matière de radio-télévision, que la jurisprudence relative aux art. 58 Cst. et 4 Cst. ne lui était pas sans autre transposable ( ATF 122 II 471 consid. 2a in fine p. 475). Il a constaté, à l'appui du refus de la récusation, que la participation de membres de l'Autorité à des décisions successives dans la même affaire, portant sur des questions au moins partiellement interdépendantes, était voulue par le législateur (même arrêt, consid. 3b p. 478). d) La récusation de membres des autorités supérieures du pouvoir exécutif doit être examinée en tenant compte de la mission et de l'organisation desdites autorités. Celles-ci assument avant tout des tâches de gouvernement, de direction et de gestion; à la différence des commissions précitées, elles ne sont qu'occasionnellement impliquées dans des procédures juridiques ouvertes à l'égard ou sur requête de particuliers. Leurs tâches impliquent le cumul de fonctions BGE 125 I 119 S. 124 diverses, qui ne pourraient pas être séparées sans atteinte à l'efficacité de la gestion et à la légitimité démocratique et politique des décisions correspondantes; en outre, elles exigent souvent des prises de position publiques ( ATF 121 I 252 consid. 2 p. 256 in medio; arrêt du 14 février 1997 in Pra 1997 p. 631, consid. 3). Ainsi, à l'égard d'un projet de route cantonale, les membres du gouvernement cantonal agissent à la fois à titre d'organe du maître d'oeuvre et d'autorité compétente pour l'approbation des plans. Dans cette seconde fonction, ils ne sont pas récusables au seul motif qu'ils ont déjà pris position, en faveur du projet, devant le parlement et dans la campagne précédant une votation populaire, car cette situation est inhérente à la réglementation légale des compétences (arrêt du 14 mars 1996 dans la cause Verkehrs-Club der Schweiz, consid. 4). Dans cette dernière affaire, le Tribunal fédéral s'est référé à la jurisprudence selon laquelle un conseiller d'Etat n'est pas récusable, dans la cause d'une société anonyme, au seul motif qu'il appartient au conseil d'administration de cette société à titre de représentant de la collectivité publique ( ATF 107 Ia 135 consid. 2b p. 137). e) Parfois, l'autorité récusée n'a pas pour tâche de statuer dans la cause, mais d'assumer un rôle de partie. Tel est le cas d'un représentant du ministère public dans un procès pénal. Or, sa récusation ne peut évidemment pas être demandée au motif qu'il soutient activement l'accusation, car cette attitude, bien que foncièrement partiale, est inhérente à sa fonction. La récusation ne se justifie, en principe, que si le représentant commet des erreurs de procédure ou d'appréciation particulièrement lourdes ou répétées, qui doivent être considérées comme des violations graves de ses devoirs et dénotent l'intention de nuire au prévenu (arrêt du 7 janvier 1999 dans la cause M.; cf. ATF 112 Ia 142 in fine p. 148). f) Ces exemples montrent qu'à la différence des art. 6 par. 1 CEDH et 58 Cst., l' art. 4 Cst. n'impose pas l'indépendance et l'impartia-lité comme maxime d'organisation d'autorités gouvernementales, administratives ou de BGE 125 I 119 S. 125 gestion. Au contraire,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L' art. 4 Cst. n'offre donc pas, dans ce contexte, une garantie équivalente à celle des art. 6 par. 1 CEDH et 58 Cst. applicables aux tribunaux (cf. arrêt du 11 juin 1996 in ZBl 1997 p. 568, consid. 3a). Cela s'explique par le fait qu'au contraire de ceux-ci, les autorités qui ont généralement pour mission principale de remplir des tâches de gouvernement, d'administration ou de gestion, ou d'assumer le rôle de partie à la procédure, n'exercent qu'occasionnellement la tâche de trancher des litiges. Quant aux prescriptions légales cantonales libellées, sans autres précisions, sur le modèle de l' art. 10 al. 1 let . d PA, il n'est pas arbitraire d'admettre qu'elles permettent elles aussi de prendre en considération, dans la même mesure, les fonctions assumées par les autorités administratives auxquelles elles s'appliquent. Il est loisible aux autorités cantonales de les interpréter de façon plus restrictive, de même que le législateur cantonal peut adopter des dispositions plus sévères. g) Légalement responsable de la gestion de l'Université, le rectorat se trouve, vis-à-vis du recourant, dans une relation permanente de collaboration et de direction hiérarchique. L'avertissement signifié au recourant en application de l'art. 46 de la loi cantonale sur le statut de la fonction publique, du 28 juin 1995, n'est nullement l'aboutissement d'une procédure indépendante de cette relation; il s'agit au contraire, typiquement, d'une mesure prise dans le cadre de la gestion de l'Université. C'est en raison de ce rapport permanent de collaboration que le rectorat peut, mieux que n'importe quelle autre instance, constater d'éventuels dysfonctionnements dans l'activité du recourant, apprécier l'opportunité d'un avertissement et surveiller l'évolution ultérieure de la situation. En tant qu'il existe formellement un cumul de fonctions entre la gestion de l'Université et la compétence pour adresser un avertissement à un fonctionnaire de cet établissement, ce cumul est justifié par des besoins organiques pertinents. Par sa lettre du 24 décembre 1997 adressée au Département de l'instruction publique et des affaires culturelles, le rectorat faisait part de ses préoccupations concernant la gestion du service ... . La lettre suivait immédiatement l'achèvement d'une expertise sur le fonctionnement du service, et elle tendait à obtenir un entretien avec BGE 125 I 119 S. 126 le chef du Département. A l'instar de l'avertissement signifié ultérieurement au recourant, cette démarche du rectorat était donc nettement, elle aussi, un acte de gestion de l'Université (art. 20 al. 1 de la loi sur l'Université, du 26 juin 1996), qui s'inscrivait dans les rapports réguliers de l'Université avec l'autorité de surveillance (cf. art. 20 al. 1 let. a, 20 al. 2 en liaison avec l'art. 8 de cette loi). En dépit de l'appréciation négative exprimée au sujet des relations avec le recourant, la lettre ne dénotait aucune animosité particulière contre lui; en particulier, il n'apparaît pas que le rectorat cherchât à s'en séparer pour des motifs étrangers aux rapports de fonction. Par conséquent, cette prise de position ne pouvait pas, à elle seule, justifier la récusation du rectorat dans la procédure d'avertissement. h) Compte tenu de son contexte, la lettre du 2 février 1998, adressée au recourant sous la signature du secrétaire général, devait être interprétée en ce sens que l'entretien du même jour ne serait pas suivi d'une mesure administrative sans que le recourant eût la possibilité de consulter le dossier et faire valoir ses arguments. Cette assurance a été respectée. Certes, les termes utilisés dans la correspondance, portant sur la levée puis la réouverture de la «procédure administrative», pouvaient paraître équivoques et prêter à discussion; néanmoins, ils ne dénotent en tout cas pas l'intention de porter atteinte aux droits procéduraux du recourant. D'ailleurs, aucune règle de procédure ne semble avoir été effectivement violée. De ce point de vue également, la suspicion de prévention n'est pas justifiée. i) Il découle de ce qui précède qu'en refusant la récusation du rectorat, le Conseil d'Etat n'a pas appliqué arbitrairement l' art. 11 al. 1 let . d LPJA/NE.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